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A6A" w:rsidRPr="00073A92" w:rsidRDefault="00462A6A" w:rsidP="00462A6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073A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ОБЩЕСТВО  С</w:t>
      </w:r>
      <w:proofErr w:type="gramEnd"/>
      <w:r w:rsidRPr="00073A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ОГРАНИЧЕННОЙ  ОТВЕТСТВЕННОСТЬЮ</w:t>
      </w:r>
    </w:p>
    <w:p w:rsidR="00462A6A" w:rsidRPr="00073A92" w:rsidRDefault="00462A6A" w:rsidP="00462A6A">
      <w:pPr>
        <w:keepNext/>
        <w:spacing w:after="0" w:line="240" w:lineRule="auto"/>
        <w:ind w:right="-1192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3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АЛТАЙСКИЙ РЕГИОНАЛЬНЫЙ КАДАСТРОВЫЙ ЦЕНТР</w:t>
      </w:r>
    </w:p>
    <w:p w:rsidR="00462A6A" w:rsidRPr="00073A92" w:rsidRDefault="00462A6A" w:rsidP="00462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3A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«ЗЕМЛЯ»</w:t>
      </w:r>
    </w:p>
    <w:p w:rsidR="00462A6A" w:rsidRPr="00073A92" w:rsidRDefault="00462A6A" w:rsidP="00462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2221056742, КПП 222101001, р/с </w:t>
      </w:r>
      <w:r w:rsidRPr="00073A92">
        <w:rPr>
          <w:rFonts w:ascii="Times New Roman" w:eastAsia="Times New Roman" w:hAnsi="Times New Roman" w:cs="Times New Roman"/>
          <w:lang w:eastAsia="ru-RU"/>
        </w:rPr>
        <w:t>40702810602000009076</w:t>
      </w:r>
      <w:r w:rsidRPr="0007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Алтайское отделение №8644 ПАО Сбербанк</w:t>
      </w:r>
      <w:r w:rsidRPr="00073A92">
        <w:rPr>
          <w:rFonts w:ascii="Times New Roman" w:eastAsia="Times New Roman" w:hAnsi="Times New Roman" w:cs="Times New Roman"/>
          <w:lang w:eastAsia="ru-RU"/>
        </w:rPr>
        <w:t xml:space="preserve"> БИК 040173604, к/</w:t>
      </w:r>
      <w:proofErr w:type="spellStart"/>
      <w:r w:rsidRPr="00073A92">
        <w:rPr>
          <w:rFonts w:ascii="Times New Roman" w:eastAsia="Times New Roman" w:hAnsi="Times New Roman" w:cs="Times New Roman"/>
          <w:lang w:eastAsia="ru-RU"/>
        </w:rPr>
        <w:t>сч</w:t>
      </w:r>
      <w:proofErr w:type="spellEnd"/>
      <w:r w:rsidRPr="00073A92">
        <w:rPr>
          <w:rFonts w:ascii="Times New Roman" w:eastAsia="Times New Roman" w:hAnsi="Times New Roman" w:cs="Times New Roman"/>
          <w:lang w:eastAsia="ru-RU"/>
        </w:rPr>
        <w:t xml:space="preserve"> 30101810200000000604 в отделении Барнаул</w:t>
      </w:r>
    </w:p>
    <w:p w:rsidR="00462A6A" w:rsidRPr="00073A92" w:rsidRDefault="00462A6A" w:rsidP="00462A6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3A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656011, г. Барнаул, ул. Матросова, 3А офис 183. Телефон/факс (3852)77-39-42</w:t>
      </w:r>
    </w:p>
    <w:p w:rsidR="00462A6A" w:rsidRPr="00462A6A" w:rsidRDefault="00462A6A" w:rsidP="00462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462A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462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rkc</w:t>
      </w:r>
      <w:proofErr w:type="spellEnd"/>
      <w:r w:rsidRPr="00462A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zemlya</w:t>
      </w:r>
      <w:proofErr w:type="spellEnd"/>
      <w:r w:rsidRPr="00462A6A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462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462A6A" w:rsidRDefault="00462A6A" w:rsidP="00373C28">
      <w:pPr>
        <w:spacing w:before="480"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73C28" w:rsidRDefault="00373C28" w:rsidP="00373C28">
      <w:pPr>
        <w:spacing w:before="480"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D3967">
        <w:rPr>
          <w:rFonts w:ascii="Times New Roman" w:hAnsi="Times New Roman" w:cs="Times New Roman"/>
          <w:b/>
          <w:sz w:val="36"/>
          <w:szCs w:val="28"/>
        </w:rPr>
        <w:t>Внесение изменений в Генеральн</w:t>
      </w:r>
      <w:r>
        <w:rPr>
          <w:rFonts w:ascii="Times New Roman" w:hAnsi="Times New Roman" w:cs="Times New Roman"/>
          <w:b/>
          <w:sz w:val="36"/>
          <w:szCs w:val="28"/>
        </w:rPr>
        <w:t>ый</w:t>
      </w:r>
      <w:r w:rsidRPr="007D3967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b/>
          <w:sz w:val="36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b/>
          <w:sz w:val="36"/>
          <w:szCs w:val="28"/>
        </w:rPr>
        <w:t>Осинниковского</w:t>
      </w:r>
      <w:proofErr w:type="spellEnd"/>
      <w:r>
        <w:rPr>
          <w:rFonts w:ascii="Times New Roman" w:hAnsi="Times New Roman" w:cs="Times New Roman"/>
          <w:b/>
          <w:sz w:val="36"/>
          <w:szCs w:val="28"/>
        </w:rPr>
        <w:t xml:space="preserve"> городского округа Кемеровской области</w:t>
      </w:r>
      <w:r w:rsidRPr="007D3967">
        <w:rPr>
          <w:rFonts w:ascii="Times New Roman" w:hAnsi="Times New Roman" w:cs="Times New Roman"/>
          <w:b/>
          <w:sz w:val="36"/>
          <w:szCs w:val="36"/>
        </w:rPr>
        <w:t>.</w:t>
      </w:r>
    </w:p>
    <w:p w:rsidR="00373C28" w:rsidRPr="00FD133C" w:rsidRDefault="00373C28" w:rsidP="00373C28">
      <w:pPr>
        <w:pStyle w:val="a3"/>
        <w:numPr>
          <w:ilvl w:val="0"/>
          <w:numId w:val="35"/>
        </w:numPr>
        <w:spacing w:before="600" w:after="0" w:line="240" w:lineRule="auto"/>
        <w:ind w:right="-6"/>
        <w:contextualSpacing w:val="0"/>
        <w:jc w:val="center"/>
        <w:rPr>
          <w:rFonts w:ascii="Times New Roman" w:hAnsi="Times New Roman" w:cs="Times New Roman"/>
          <w:b/>
          <w:sz w:val="28"/>
        </w:rPr>
      </w:pPr>
      <w:r w:rsidRPr="00A1237B">
        <w:rPr>
          <w:rFonts w:ascii="Times New Roman" w:hAnsi="Times New Roman" w:cs="Times New Roman"/>
          <w:b/>
          <w:sz w:val="32"/>
        </w:rPr>
        <w:t>П</w:t>
      </w:r>
      <w:r>
        <w:rPr>
          <w:rFonts w:ascii="Times New Roman" w:hAnsi="Times New Roman" w:cs="Times New Roman"/>
          <w:b/>
          <w:sz w:val="32"/>
        </w:rPr>
        <w:t>ОЛОЖЕНИЕ О ТЕРРИТОРИАЛЬНОМ ПЛАНИРОВАНИИ</w:t>
      </w:r>
      <w:r w:rsidRPr="00A1237B">
        <w:rPr>
          <w:rFonts w:ascii="Times New Roman" w:hAnsi="Times New Roman" w:cs="Times New Roman"/>
          <w:b/>
          <w:sz w:val="32"/>
        </w:rPr>
        <w:t>.</w:t>
      </w:r>
    </w:p>
    <w:p w:rsidR="007E4861" w:rsidRPr="007E4861" w:rsidRDefault="007E4861" w:rsidP="00373C28">
      <w:pPr>
        <w:spacing w:before="240"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Pr="00954A63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7E486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Порядок внесения изменений в генеральный план</w:t>
      </w:r>
      <w:r w:rsidR="00A31648">
        <w:rPr>
          <w:rFonts w:ascii="Times New Roman" w:hAnsi="Times New Roman" w:cs="Times New Roman"/>
          <w:sz w:val="28"/>
          <w:szCs w:val="28"/>
        </w:rPr>
        <w:t>……………………2</w:t>
      </w:r>
    </w:p>
    <w:p w:rsidR="00373C28" w:rsidRDefault="00373C28" w:rsidP="00373C28">
      <w:pPr>
        <w:spacing w:before="240" w:after="0" w:line="240" w:lineRule="auto"/>
        <w:ind w:right="-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7E486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54A6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861">
        <w:rPr>
          <w:rFonts w:ascii="Times New Roman" w:hAnsi="Times New Roman" w:cs="Times New Roman"/>
          <w:sz w:val="28"/>
          <w:szCs w:val="28"/>
        </w:rPr>
        <w:t>Обоснование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границ городского округа и населенных пунктов, входящих в его состав</w:t>
      </w:r>
      <w:r w:rsidR="00A3164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…………………………………………………</w:t>
      </w:r>
      <w:proofErr w:type="gramStart"/>
      <w:r w:rsidR="00A3164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…….</w:t>
      </w:r>
      <w:proofErr w:type="gramEnd"/>
      <w:r w:rsidR="00A3164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373C28" w:rsidRDefault="00373C28" w:rsidP="00373C28">
      <w:pPr>
        <w:spacing w:before="240" w:after="0" w:line="240" w:lineRule="auto"/>
        <w:ind w:left="1418" w:hanging="1418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</w:t>
      </w:r>
      <w:r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E486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E486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Разработка функционального зонирования</w:t>
      </w:r>
      <w:proofErr w:type="gramStart"/>
      <w:r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…….</w:t>
      </w:r>
      <w:proofErr w:type="gramEnd"/>
      <w:r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.…...……………..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A3164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....4</w:t>
      </w:r>
    </w:p>
    <w:p w:rsidR="00373C28" w:rsidRDefault="00373C28" w:rsidP="00373C28">
      <w:pPr>
        <w:spacing w:before="240" w:after="0" w:line="240" w:lineRule="auto"/>
        <w:ind w:left="1418" w:hanging="1418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</w:t>
      </w:r>
      <w:r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E486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E486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Установление градостроительных </w:t>
      </w:r>
      <w:proofErr w:type="gramStart"/>
      <w:r w:rsidR="007E486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ограничений</w:t>
      </w:r>
      <w:r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….</w:t>
      </w:r>
      <w:proofErr w:type="gramEnd"/>
      <w:r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.…...……………..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A3164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</w:p>
    <w:p w:rsidR="00373C28" w:rsidRPr="00B11450" w:rsidRDefault="00373C28" w:rsidP="00373C28">
      <w:pPr>
        <w:spacing w:before="240" w:after="0" w:line="240" w:lineRule="auto"/>
        <w:ind w:left="1418" w:hanging="1418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3C28" w:rsidRPr="000F0C04" w:rsidRDefault="00373C28" w:rsidP="00373C28">
      <w:pPr>
        <w:pStyle w:val="a3"/>
        <w:numPr>
          <w:ilvl w:val="0"/>
          <w:numId w:val="35"/>
        </w:numPr>
        <w:spacing w:before="240" w:after="0" w:line="20" w:lineRule="atLeast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04">
        <w:rPr>
          <w:rFonts w:ascii="Times New Roman" w:hAnsi="Times New Roman" w:cs="Times New Roman"/>
          <w:b/>
          <w:sz w:val="32"/>
          <w:szCs w:val="32"/>
        </w:rPr>
        <w:t xml:space="preserve">ГРАФИЧЕСКАЯ ЧАСТЬ.  </w:t>
      </w:r>
    </w:p>
    <w:p w:rsidR="00373C28" w:rsidRDefault="00373C28" w:rsidP="00373C28">
      <w:pPr>
        <w:pStyle w:val="a3"/>
        <w:numPr>
          <w:ilvl w:val="0"/>
          <w:numId w:val="36"/>
        </w:numPr>
        <w:spacing w:before="240" w:after="0" w:line="20" w:lineRule="atLeast"/>
        <w:ind w:right="-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D0677">
        <w:rPr>
          <w:rFonts w:ascii="Times New Roman" w:hAnsi="Times New Roman" w:cs="Times New Roman"/>
          <w:sz w:val="28"/>
          <w:szCs w:val="28"/>
        </w:rPr>
        <w:t>Обзорная карта развития фун</w:t>
      </w:r>
      <w:r>
        <w:rPr>
          <w:rFonts w:ascii="Times New Roman" w:hAnsi="Times New Roman" w:cs="Times New Roman"/>
          <w:sz w:val="28"/>
          <w:szCs w:val="28"/>
        </w:rPr>
        <w:t xml:space="preserve">кциональных зон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373C28" w:rsidRDefault="00373C28" w:rsidP="00373C28">
      <w:pPr>
        <w:pStyle w:val="a3"/>
        <w:numPr>
          <w:ilvl w:val="1"/>
          <w:numId w:val="36"/>
        </w:numPr>
        <w:spacing w:before="240" w:after="0" w:line="20" w:lineRule="atLeast"/>
        <w:ind w:right="-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развития функциональных зон населенного пункта г. Осинники;</w:t>
      </w:r>
    </w:p>
    <w:p w:rsidR="00373C28" w:rsidRPr="00460551" w:rsidRDefault="00373C28" w:rsidP="00373C28">
      <w:pPr>
        <w:pStyle w:val="a3"/>
        <w:numPr>
          <w:ilvl w:val="1"/>
          <w:numId w:val="36"/>
        </w:numPr>
        <w:spacing w:before="240" w:after="0" w:line="20" w:lineRule="atLeast"/>
        <w:ind w:right="-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развития функциональных зон населенного пункта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73C28" w:rsidRPr="00930529" w:rsidRDefault="00A31648" w:rsidP="00373C28">
      <w:pPr>
        <w:spacing w:before="240"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3C28" w:rsidRPr="00930529">
        <w:rPr>
          <w:rFonts w:ascii="Times New Roman" w:hAnsi="Times New Roman" w:cs="Times New Roman"/>
          <w:sz w:val="28"/>
          <w:szCs w:val="28"/>
        </w:rPr>
        <w:t xml:space="preserve">2. </w:t>
      </w:r>
      <w:r w:rsidR="00373C28">
        <w:rPr>
          <w:rFonts w:ascii="Times New Roman" w:hAnsi="Times New Roman" w:cs="Times New Roman"/>
          <w:sz w:val="28"/>
          <w:szCs w:val="28"/>
        </w:rPr>
        <w:t xml:space="preserve">Карта градостроительных ограничений </w:t>
      </w:r>
      <w:proofErr w:type="spellStart"/>
      <w:r w:rsidR="00373C28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="00373C28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373C28" w:rsidRPr="00930529" w:rsidRDefault="00373C28" w:rsidP="00373C28">
      <w:pPr>
        <w:spacing w:before="240" w:after="0" w:line="2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73C28" w:rsidRDefault="00373C28" w:rsidP="00373C28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73C28" w:rsidRDefault="00373C28" w:rsidP="00373C28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73C28" w:rsidRDefault="00373C28" w:rsidP="00373C28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73C28" w:rsidRDefault="00373C28" w:rsidP="00373C28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73C28" w:rsidRPr="003D47EC" w:rsidRDefault="00373C28" w:rsidP="00373C28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D47EC">
        <w:rPr>
          <w:rFonts w:ascii="Times New Roman" w:hAnsi="Times New Roman" w:cs="Times New Roman"/>
          <w:b/>
          <w:sz w:val="36"/>
          <w:szCs w:val="28"/>
        </w:rPr>
        <w:lastRenderedPageBreak/>
        <w:t>Вв</w:t>
      </w:r>
      <w:bookmarkStart w:id="0" w:name="_GoBack"/>
      <w:bookmarkEnd w:id="0"/>
      <w:r w:rsidRPr="003D47EC">
        <w:rPr>
          <w:rFonts w:ascii="Times New Roman" w:hAnsi="Times New Roman" w:cs="Times New Roman"/>
          <w:b/>
          <w:sz w:val="36"/>
          <w:szCs w:val="28"/>
        </w:rPr>
        <w:t>едение</w:t>
      </w:r>
      <w:r>
        <w:rPr>
          <w:rFonts w:ascii="Times New Roman" w:hAnsi="Times New Roman" w:cs="Times New Roman"/>
          <w:b/>
          <w:sz w:val="36"/>
          <w:szCs w:val="28"/>
        </w:rPr>
        <w:t>.</w:t>
      </w:r>
    </w:p>
    <w:p w:rsidR="00373C28" w:rsidRDefault="00373C28" w:rsidP="00373C2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7EC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</w:t>
      </w:r>
      <w:r w:rsidRPr="003D47EC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D47EC">
        <w:rPr>
          <w:rFonts w:ascii="Times New Roman" w:hAnsi="Times New Roman" w:cs="Times New Roman"/>
          <w:sz w:val="28"/>
          <w:szCs w:val="28"/>
        </w:rPr>
        <w:t xml:space="preserve"> выполнен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47EC">
        <w:rPr>
          <w:rFonts w:ascii="Times New Roman" w:hAnsi="Times New Roman" w:cs="Times New Roman"/>
          <w:sz w:val="28"/>
          <w:szCs w:val="28"/>
        </w:rPr>
        <w:t xml:space="preserve"> в соо</w:t>
      </w:r>
      <w:r>
        <w:rPr>
          <w:rFonts w:ascii="Times New Roman" w:hAnsi="Times New Roman" w:cs="Times New Roman"/>
          <w:sz w:val="28"/>
          <w:szCs w:val="28"/>
        </w:rPr>
        <w:t>тветствии с дополнительным соглашением</w:t>
      </w:r>
      <w:r w:rsidR="00A31648">
        <w:rPr>
          <w:rFonts w:ascii="Times New Roman" w:hAnsi="Times New Roman" w:cs="Times New Roman"/>
          <w:sz w:val="28"/>
          <w:szCs w:val="28"/>
        </w:rPr>
        <w:t xml:space="preserve"> (Приложение №4 от 25 августа 2015 г.)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373C28">
        <w:rPr>
          <w:rFonts w:ascii="Times New Roman" w:hAnsi="Times New Roman" w:cs="Times New Roman"/>
          <w:sz w:val="28"/>
          <w:szCs w:val="28"/>
          <w:highlight w:val="yellow"/>
        </w:rPr>
        <w:t>муниципальному контракту</w:t>
      </w:r>
      <w:r w:rsidR="00A31648">
        <w:rPr>
          <w:rFonts w:ascii="Times New Roman" w:hAnsi="Times New Roman" w:cs="Times New Roman"/>
          <w:sz w:val="28"/>
          <w:szCs w:val="28"/>
          <w:highlight w:val="yellow"/>
        </w:rPr>
        <w:t xml:space="preserve"> №2015.1-ОК от 29 июня 2015 года</w:t>
      </w:r>
      <w:r w:rsidRPr="00373C2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373C28" w:rsidRPr="003D47EC" w:rsidRDefault="00373C28" w:rsidP="00373C2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7EC">
        <w:rPr>
          <w:rFonts w:ascii="Times New Roman" w:hAnsi="Times New Roman" w:cs="Times New Roman"/>
          <w:sz w:val="28"/>
          <w:szCs w:val="28"/>
        </w:rPr>
        <w:t xml:space="preserve">Заказчиком на разработку проекта внесения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</w:t>
      </w:r>
      <w:r w:rsidRPr="003D47EC">
        <w:rPr>
          <w:rFonts w:ascii="Times New Roman" w:hAnsi="Times New Roman" w:cs="Times New Roman"/>
          <w:sz w:val="28"/>
          <w:szCs w:val="28"/>
        </w:rPr>
        <w:t xml:space="preserve"> план является </w:t>
      </w:r>
      <w:r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D47EC">
        <w:rPr>
          <w:rFonts w:ascii="Times New Roman" w:hAnsi="Times New Roman" w:cs="Times New Roman"/>
          <w:sz w:val="28"/>
          <w:szCs w:val="28"/>
        </w:rPr>
        <w:t>.</w:t>
      </w:r>
    </w:p>
    <w:p w:rsidR="00D11238" w:rsidRDefault="00373C28" w:rsidP="00373C28">
      <w:pPr>
        <w:autoSpaceDE w:val="0"/>
        <w:autoSpaceDN w:val="0"/>
        <w:adjustRightInd w:val="0"/>
        <w:spacing w:before="60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Раздел</w:t>
      </w:r>
      <w:r w:rsidRPr="00F54E3F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1</w:t>
      </w:r>
      <w:r w:rsidR="007E4861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.</w:t>
      </w:r>
      <w:r w:rsidRPr="00F54E3F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  </w:t>
      </w:r>
      <w:r w:rsidRPr="000B7EC4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Порядок внесения изменений в генеральный план</w:t>
      </w:r>
      <w:r>
        <w:rPr>
          <w:rFonts w:ascii="Times New Roman" w:hAnsi="Times New Roman" w:cs="Times New Roman"/>
          <w:b/>
          <w:bCs/>
          <w:color w:val="000000"/>
          <w:sz w:val="32"/>
          <w:szCs w:val="28"/>
          <w:lang w:eastAsia="ru-RU"/>
        </w:rPr>
        <w:t>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4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Внесение изменений в утверждённый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по предложениям органов местного самоуправления, заинтересованных физических и юридических лиц.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о внесении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план, а также обоснование данных предложений, направляются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Осинниковского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Уполномоченный орган даёт заключение о целесообразности подготовки проекта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 и направляет его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Осинниковского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 подготовке проекта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план, либо мотивированного отказа субъекту, внёсшему данные предложения.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Решение о внесении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 изменений принимается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главой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Осинниковского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Подготовка проекта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план, его рассмотрение и согласование осуществляется в том же порядке, что и подготовка, рассмотрение и согласование проекта генерального плана, в соответствии с частями 2-14 Статьи 24 Градостроительного кодекса Российской Федерации.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 внесении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 публичные слушания с участием жителей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оводятся в обязательном порядке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Протоколы публичных слушаний по проекту внесения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план, заключения о результатах таких публичных слушаний являются обязательным приложением к проекту.</w:t>
      </w:r>
    </w:p>
    <w:p w:rsidR="00373C28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Проект внесения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 подлежит опубликованию в порядке, установленном для официального опубликования муниципальных правовых актов, не менее чем за три месяца до его утверждения и может размещаться на официальном сайте поселения.</w:t>
      </w:r>
    </w:p>
    <w:p w:rsidR="00373C28" w:rsidRPr="00E24803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4803">
        <w:rPr>
          <w:rFonts w:ascii="Times New Roman" w:hAnsi="Times New Roman" w:cs="Times New Roman"/>
          <w:sz w:val="28"/>
          <w:szCs w:val="28"/>
        </w:rPr>
        <w:t xml:space="preserve">Опубликованию подлежат внесения изменений в </w:t>
      </w:r>
      <w:r>
        <w:rPr>
          <w:rFonts w:ascii="Times New Roman" w:hAnsi="Times New Roman" w:cs="Times New Roman"/>
          <w:sz w:val="28"/>
          <w:szCs w:val="28"/>
        </w:rPr>
        <w:t>положение</w:t>
      </w:r>
      <w:r w:rsidRPr="00E24803">
        <w:rPr>
          <w:rFonts w:ascii="Times New Roman" w:hAnsi="Times New Roman" w:cs="Times New Roman"/>
          <w:sz w:val="28"/>
          <w:szCs w:val="28"/>
        </w:rPr>
        <w:t xml:space="preserve"> о территориальном планиров</w:t>
      </w:r>
      <w:r w:rsidR="007E4861">
        <w:rPr>
          <w:rFonts w:ascii="Times New Roman" w:hAnsi="Times New Roman" w:cs="Times New Roman"/>
          <w:sz w:val="28"/>
          <w:szCs w:val="28"/>
        </w:rPr>
        <w:t>ании сельского поселения, а так</w:t>
      </w:r>
      <w:r w:rsidRPr="00E24803">
        <w:rPr>
          <w:rFonts w:ascii="Times New Roman" w:hAnsi="Times New Roman" w:cs="Times New Roman"/>
          <w:sz w:val="28"/>
          <w:szCs w:val="28"/>
        </w:rPr>
        <w:t xml:space="preserve">же карты (схемы) на </w:t>
      </w:r>
      <w:r w:rsidRPr="00E24803">
        <w:rPr>
          <w:rFonts w:ascii="Times New Roman" w:hAnsi="Times New Roman" w:cs="Times New Roman"/>
          <w:sz w:val="28"/>
          <w:szCs w:val="28"/>
        </w:rPr>
        <w:lastRenderedPageBreak/>
        <w:t xml:space="preserve">которых отображена необходимая информация, предусмотренная </w:t>
      </w:r>
      <w:r>
        <w:rPr>
          <w:rFonts w:ascii="Times New Roman" w:hAnsi="Times New Roman" w:cs="Times New Roman"/>
          <w:sz w:val="28"/>
          <w:szCs w:val="28"/>
        </w:rPr>
        <w:t>частями 5 и</w:t>
      </w:r>
      <w:r w:rsidRPr="00E24803">
        <w:rPr>
          <w:rFonts w:ascii="Times New Roman" w:hAnsi="Times New Roman" w:cs="Times New Roman"/>
          <w:sz w:val="28"/>
          <w:szCs w:val="28"/>
        </w:rPr>
        <w:t xml:space="preserve"> 6 Статьи 23 Градостроительного кодекса РФ.</w:t>
      </w:r>
    </w:p>
    <w:p w:rsidR="00373C28" w:rsidRPr="00216402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803">
        <w:rPr>
          <w:rFonts w:ascii="Times New Roman" w:hAnsi="Times New Roman" w:cs="Times New Roman"/>
          <w:sz w:val="28"/>
          <w:szCs w:val="28"/>
        </w:rPr>
        <w:t xml:space="preserve">Срок утверждения проекта внесения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</w:t>
      </w:r>
      <w:r w:rsidRPr="00E24803">
        <w:rPr>
          <w:rFonts w:ascii="Times New Roman" w:hAnsi="Times New Roman" w:cs="Times New Roman"/>
          <w:sz w:val="28"/>
          <w:szCs w:val="28"/>
        </w:rPr>
        <w:t xml:space="preserve"> план составляет три месяца. В случае поступления заключений о несогласии с проектом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4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24803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4803">
        <w:rPr>
          <w:rFonts w:ascii="Times New Roman" w:hAnsi="Times New Roman" w:cs="Times New Roman"/>
          <w:sz w:val="28"/>
          <w:szCs w:val="28"/>
        </w:rPr>
        <w:t>дминистрации принимается решение о создании согласительной комиссии.</w:t>
      </w:r>
    </w:p>
    <w:p w:rsidR="00373C28" w:rsidRPr="00E24803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Проект внесения изменений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Генеральный</w:t>
      </w:r>
      <w:r w:rsidRPr="003D47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 утверждается представительным органом местного самоуправления поселения.</w:t>
      </w:r>
    </w:p>
    <w:p w:rsidR="00373C28" w:rsidRPr="00E24803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803">
        <w:rPr>
          <w:rFonts w:ascii="Times New Roman" w:hAnsi="Times New Roman" w:cs="Times New Roman"/>
          <w:sz w:val="28"/>
          <w:szCs w:val="28"/>
        </w:rPr>
        <w:t xml:space="preserve">Проект внесения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</w:t>
      </w:r>
      <w:r w:rsidRPr="00E24803">
        <w:rPr>
          <w:rFonts w:ascii="Times New Roman" w:hAnsi="Times New Roman" w:cs="Times New Roman"/>
          <w:sz w:val="28"/>
          <w:szCs w:val="28"/>
        </w:rPr>
        <w:t xml:space="preserve"> план в течение трех дней со дня его утверждения направляется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24803">
        <w:rPr>
          <w:rFonts w:ascii="Times New Roman" w:hAnsi="Times New Roman" w:cs="Times New Roman"/>
          <w:sz w:val="28"/>
          <w:szCs w:val="28"/>
        </w:rPr>
        <w:t>лаве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4803">
        <w:rPr>
          <w:rFonts w:ascii="Times New Roman" w:hAnsi="Times New Roman" w:cs="Times New Roman"/>
          <w:sz w:val="28"/>
          <w:szCs w:val="28"/>
        </w:rPr>
        <w:t xml:space="preserve"> в границах которого находится поселение. </w:t>
      </w:r>
    </w:p>
    <w:p w:rsidR="00373C28" w:rsidRPr="00E24803" w:rsidRDefault="00373C28" w:rsidP="00373C2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803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проекта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</w:t>
      </w:r>
      <w:r w:rsidRPr="00E24803">
        <w:rPr>
          <w:rFonts w:ascii="Times New Roman" w:hAnsi="Times New Roman" w:cs="Times New Roman"/>
          <w:sz w:val="28"/>
          <w:szCs w:val="28"/>
        </w:rPr>
        <w:t xml:space="preserve"> план, вправе оспорить проект внесения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</w:t>
      </w:r>
      <w:r w:rsidRPr="00E24803">
        <w:rPr>
          <w:rFonts w:ascii="Times New Roman" w:hAnsi="Times New Roman" w:cs="Times New Roman"/>
          <w:sz w:val="28"/>
          <w:szCs w:val="28"/>
        </w:rPr>
        <w:t xml:space="preserve"> план в судебном порядке. </w:t>
      </w:r>
    </w:p>
    <w:p w:rsidR="007E4861" w:rsidRDefault="007E4861" w:rsidP="007E4861">
      <w:pPr>
        <w:pStyle w:val="a3"/>
        <w:autoSpaceDE w:val="0"/>
        <w:autoSpaceDN w:val="0"/>
        <w:adjustRightInd w:val="0"/>
        <w:spacing w:before="600"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7E4861" w:rsidRPr="007E4861" w:rsidRDefault="007E4861" w:rsidP="007E4861">
      <w:pPr>
        <w:pStyle w:val="a3"/>
        <w:autoSpaceDE w:val="0"/>
        <w:autoSpaceDN w:val="0"/>
        <w:adjustRightInd w:val="0"/>
        <w:spacing w:before="600"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7E4861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Раздел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2.</w:t>
      </w:r>
      <w:r w:rsidRPr="007E4861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Обоснование изменения границ городского округа и населенных пунктов, входящих в его состав</w:t>
      </w:r>
      <w:r w:rsidRPr="007E4861">
        <w:rPr>
          <w:rFonts w:ascii="Times New Roman" w:hAnsi="Times New Roman" w:cs="Times New Roman"/>
          <w:b/>
          <w:bCs/>
          <w:color w:val="000000"/>
          <w:sz w:val="32"/>
          <w:szCs w:val="28"/>
          <w:lang w:eastAsia="ru-RU"/>
        </w:rPr>
        <w:t>.</w:t>
      </w:r>
    </w:p>
    <w:p w:rsidR="00B21BEF" w:rsidRPr="00B21BEF" w:rsidRDefault="007E4861" w:rsidP="007E4861">
      <w:pPr>
        <w:pStyle w:val="a3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округ», установленные в действующем генеральном плане, в настоящий момент</w:t>
      </w:r>
      <w:r w:rsidR="00B21BEF">
        <w:rPr>
          <w:rFonts w:ascii="Times New Roman" w:hAnsi="Times New Roman" w:cs="Times New Roman"/>
          <w:sz w:val="28"/>
          <w:szCs w:val="28"/>
        </w:rPr>
        <w:t xml:space="preserve"> не соответствуют фактической ситуации на территории, а также противоречат последним изменениям </w:t>
      </w:r>
      <w:r w:rsidR="00B21BEF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</w:t>
      </w:r>
      <w:r w:rsidR="00B21B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21BEF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Кемеровской области от 17 декабря 2004 г. N 104-ОЗ</w:t>
      </w:r>
      <w:r w:rsidR="00B21B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1BEF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"О статусе и границах муниципальных образований" (ред. от 22.12.2014)</w:t>
      </w:r>
      <w:r w:rsidR="00B21B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(далее- Закон):</w:t>
      </w:r>
    </w:p>
    <w:p w:rsidR="007E4861" w:rsidRDefault="00B21BEF" w:rsidP="00B21BEF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границы городского округа входят населенные пункты</w:t>
      </w:r>
      <w:r w:rsidR="007E4861" w:rsidRPr="00E24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Сарбала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п. Малиновка, которые в настоящий момент по факту и по Закону входят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Калтанского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B21BEF" w:rsidRDefault="00B21BEF" w:rsidP="00B21BEF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конфигурация самих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искажена, поскольку координатная привязка границ к территории </w:t>
      </w:r>
      <w:r w:rsidR="005E4D60">
        <w:rPr>
          <w:rFonts w:ascii="Times New Roman" w:hAnsi="Times New Roman" w:cs="Times New Roman"/>
          <w:sz w:val="28"/>
          <w:szCs w:val="28"/>
        </w:rPr>
        <w:t>выполнена некорректно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1BEF" w:rsidRDefault="00B21BEF" w:rsidP="00B21BEF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часть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захватывает земли Новокузнецкого муниципального района (левый берег р. Кондома).</w:t>
      </w:r>
    </w:p>
    <w:p w:rsidR="00B21BEF" w:rsidRDefault="00B21BEF" w:rsidP="005E4D60">
      <w:pPr>
        <w:pStyle w:val="a3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Границы населенных пунктов г. Осинники и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также установлены без координатной привязки к </w:t>
      </w:r>
      <w:r w:rsidR="005E4D60">
        <w:rPr>
          <w:rFonts w:ascii="Times New Roman" w:hAnsi="Times New Roman" w:cs="Times New Roman"/>
          <w:sz w:val="28"/>
          <w:szCs w:val="28"/>
        </w:rPr>
        <w:t>территории этих населенных пунктов, противоречат материалам землеустройства, полученных в государственном фонде данных и сведениям государственного кадастра недвижимости о местоположении границ земельных участков (см. графическую часть материалов по обоснованию проекта);</w:t>
      </w:r>
    </w:p>
    <w:p w:rsidR="005E4D60" w:rsidRDefault="005E4D60" w:rsidP="005E4D60">
      <w:pPr>
        <w:pStyle w:val="a3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проектом предлагается:</w:t>
      </w:r>
    </w:p>
    <w:p w:rsidR="005E4D60" w:rsidRDefault="005E4D60" w:rsidP="005E4D60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исключить из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населенные пункты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Сарбала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п. Малиновка;</w:t>
      </w:r>
    </w:p>
    <w:p w:rsidR="005E4D60" w:rsidRDefault="005E4D60" w:rsidP="005E4D60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установить границы городского округа с координатной привязкой к территории в системе координат МСК-42, в соответствии с картографическим описанием Закона, в соответствии со сведениями ГКН, материалов землеустройства и топографической основы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E4D60" w:rsidRDefault="005E4D60" w:rsidP="005E4D60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установить в составе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границы населенных пунктов г. Осинники и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координатной привязкой к территории в системе координат МСК-42, в соответствии со сведениями ГКН, материалов землеустройства и топографической основы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1BCD" w:rsidRPr="00604343" w:rsidRDefault="00E31BCD" w:rsidP="00E31BCD">
      <w:pPr>
        <w:pStyle w:val="a3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 перечисленные проектные решения данного раздела отображены в графической части </w:t>
      </w:r>
      <w:r w:rsidR="001211E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 всех его картах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1211E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Кроме того, отдельно сформирована карта функциональных зон (вновь установленных настоящим проектом), на которой показаны границы городского округа и населенных пунктов с действующей редакции генерального плана. Данная картина наглядно отображает некорректную конфигурацию и привязку границ действующего генерального плана.</w:t>
      </w:r>
    </w:p>
    <w:p w:rsidR="00604343" w:rsidRDefault="00604343" w:rsidP="00604343">
      <w:pPr>
        <w:pStyle w:val="a3"/>
        <w:autoSpaceDE w:val="0"/>
        <w:autoSpaceDN w:val="0"/>
        <w:adjustRightInd w:val="0"/>
        <w:spacing w:before="600"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604343" w:rsidRDefault="00604343" w:rsidP="00604343">
      <w:pPr>
        <w:pStyle w:val="a3"/>
        <w:autoSpaceDE w:val="0"/>
        <w:autoSpaceDN w:val="0"/>
        <w:adjustRightInd w:val="0"/>
        <w:spacing w:before="600"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7E4861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Раздел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3.</w:t>
      </w:r>
      <w:r w:rsidRPr="007E4861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Разработка функционального зонирования</w:t>
      </w:r>
    </w:p>
    <w:p w:rsidR="00604343" w:rsidRPr="00604343" w:rsidRDefault="00604343" w:rsidP="00604343">
      <w:pPr>
        <w:pStyle w:val="a3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Функциональное зонирование действующего генерального плана следует отменить в связи со следующим:</w:t>
      </w:r>
    </w:p>
    <w:p w:rsidR="00604343" w:rsidRDefault="00604343" w:rsidP="00604343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границы функциональных зон установлены с некорректной координатной привязкой («растянуты» с запада на восток);</w:t>
      </w:r>
    </w:p>
    <w:p w:rsidR="00604343" w:rsidRPr="00604343" w:rsidRDefault="00604343" w:rsidP="00604343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конфигурация границ функциональных зон выполнена без учета сведений государственного кадастра недвижимости о границах земельных участках, расположенных в этих зонах, а также примыкающих к ним;</w:t>
      </w:r>
    </w:p>
    <w:p w:rsidR="00604343" w:rsidRDefault="00604343" w:rsidP="00604343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оформление функциональных зон противоречит Приказу</w:t>
      </w:r>
      <w:r w:rsidRPr="006043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Министерства регионального развития РФ от 30 января 2012 г. № 19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ия, объектов местного значения»;</w:t>
      </w:r>
    </w:p>
    <w:p w:rsidR="00604343" w:rsidRPr="00B21BEF" w:rsidRDefault="00604343" w:rsidP="00604343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отсутствует ГИС-проект функционального зонирования (векторные слои и их описание, атрибутивная информация по каждому объекту слоя).</w:t>
      </w:r>
    </w:p>
    <w:p w:rsidR="0020451A" w:rsidRPr="0020451A" w:rsidRDefault="00604343" w:rsidP="0020451A">
      <w:pPr>
        <w:pStyle w:val="a3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Проектом предлагается разработка </w:t>
      </w:r>
      <w:r w:rsidR="0020451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нового функционального зонирования, которое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0451A" w:rsidRDefault="0020451A" w:rsidP="0020451A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выполнено в системе координат МСК-42 и полностью учитывает сведения ГКН о местоположении земельных участков на момент разработки;</w:t>
      </w:r>
    </w:p>
    <w:p w:rsidR="0020451A" w:rsidRDefault="0020451A" w:rsidP="0020451A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оформлено с учетом Приказа</w:t>
      </w:r>
      <w:r w:rsidRPr="006043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Министерства регионального развития РФ от 30 января 2012 г. № 19 «Об утверждении требований к описанию и отображению в документах территориального планирования объектов </w:t>
      </w:r>
      <w:r w:rsidRPr="006043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федерального значения, объектов регионального значен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ия, объектов местного значения»;</w:t>
      </w:r>
    </w:p>
    <w:p w:rsidR="0020451A" w:rsidRDefault="0020451A" w:rsidP="0020451A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исключает планировочную организацию территории за счет земель Новокузнецкого муниципального района по левому берегу р. Кондома;</w:t>
      </w:r>
    </w:p>
    <w:p w:rsidR="0020451A" w:rsidRDefault="0020451A" w:rsidP="0020451A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учитывает предыдущие градостроительные решения генерального плана и в то же время соответствует актуальной градостроительной ситуации на территории городского округа;</w:t>
      </w:r>
    </w:p>
    <w:p w:rsidR="0020451A" w:rsidRDefault="0020451A" w:rsidP="0020451A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выполнено с учетом вновь установленных границ городского округа и населенных пунктов, входящих в его состав;</w:t>
      </w:r>
    </w:p>
    <w:p w:rsidR="0020451A" w:rsidRDefault="0020451A" w:rsidP="0020451A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разработано в формате ГИС-проекта, в виде векторных слоев и атрибутивного описания каждого объекта в слое, согласно требованиям федерального законодательства.</w:t>
      </w:r>
    </w:p>
    <w:p w:rsidR="00E31BCD" w:rsidRPr="00E31BCD" w:rsidRDefault="00E31BCD" w:rsidP="00E31BCD">
      <w:p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31BC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 перечисленные проектные решения данного раздела отображены в графической части проекта на карте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функционального зонирования территории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Осинниковского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городского округа</w:t>
      </w:r>
      <w:r w:rsidRPr="00E31BC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31BCD" w:rsidRPr="0020451A" w:rsidRDefault="00E31BCD" w:rsidP="00E31BCD">
      <w:pPr>
        <w:pStyle w:val="a3"/>
        <w:autoSpaceDE w:val="0"/>
        <w:autoSpaceDN w:val="0"/>
        <w:adjustRightInd w:val="0"/>
        <w:spacing w:before="120" w:after="0" w:line="240" w:lineRule="auto"/>
        <w:ind w:left="108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30277" w:rsidRDefault="00130277" w:rsidP="00130277">
      <w:pPr>
        <w:pStyle w:val="a3"/>
        <w:autoSpaceDE w:val="0"/>
        <w:autoSpaceDN w:val="0"/>
        <w:adjustRightInd w:val="0"/>
        <w:spacing w:before="600"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7E4861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Раздел</w:t>
      </w:r>
      <w:r w:rsidR="00A31648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4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.</w:t>
      </w:r>
      <w:r w:rsidRPr="007E4861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Установление градостроительных ограничений</w:t>
      </w:r>
    </w:p>
    <w:p w:rsidR="00130277" w:rsidRPr="00E31BCD" w:rsidRDefault="00130277" w:rsidP="00130277">
      <w:pPr>
        <w:pStyle w:val="a3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-142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Границы ранее установленных зон градостроительных ограничений установлены с искаженной координатной привязкой к территории городского округа и не учитывают многие объекты капитального строительства, оказывающие негативное влияние на окружающую среду и жизнедеятельность населения</w:t>
      </w:r>
      <w:r w:rsidR="00E31B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31BCD" w:rsidRPr="00E31BCD" w:rsidRDefault="00E31BCD" w:rsidP="00130277">
      <w:pPr>
        <w:pStyle w:val="a3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-142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действующем генеральном плане отсутствуют зоны ограничений деятельности на территориях источников питьевого водоснабжения, на территориях объектов инженерной инфраструктуры. Практически не проработаны санитарно-защитные зоны.</w:t>
      </w:r>
    </w:p>
    <w:p w:rsidR="00E31BCD" w:rsidRDefault="00E31BCD" w:rsidP="00E31BCD">
      <w:pPr>
        <w:pStyle w:val="a3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Проектом предлагается:</w:t>
      </w:r>
    </w:p>
    <w:p w:rsidR="00E31BCD" w:rsidRDefault="00E31BCD" w:rsidP="00E31BCD">
      <w:pPr>
        <w:pStyle w:val="a3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установление зон ограничений на территориях источников питьевого водоснабжения;</w:t>
      </w:r>
    </w:p>
    <w:p w:rsidR="00E31BCD" w:rsidRDefault="00E31BCD" w:rsidP="00E31BCD">
      <w:pPr>
        <w:pStyle w:val="a3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установление охранных зон объектов инженерной инфраструктуры;</w:t>
      </w:r>
    </w:p>
    <w:p w:rsidR="00E31BCD" w:rsidRDefault="00E31BCD" w:rsidP="00E31BCD">
      <w:pPr>
        <w:pStyle w:val="a3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360"/>
        <w:contextualSpacing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установление санитарно-защитных зон объектов, оказывающих негативное воздействие на окружающую среду согласно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положениям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616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СанПиН 2.2.1/2.1.1.1200-03 "Санитарно-защитные зоны и санитарная классификация предприятий, сооружений и иных объектов"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а также проектам санитарно-защитных зон, предоставленных соответствующими предприятиями;</w:t>
      </w:r>
    </w:p>
    <w:p w:rsidR="00E31BCD" w:rsidRDefault="00E31BCD" w:rsidP="00E31BCD">
      <w:pPr>
        <w:pStyle w:val="a3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360"/>
        <w:contextualSpacing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 координатная привязка в системе МСК-42 всех ранее и вновь установленных градостроительных ограничений.</w:t>
      </w:r>
    </w:p>
    <w:p w:rsidR="00373C28" w:rsidRPr="00F54E3F" w:rsidRDefault="00E31BCD" w:rsidP="00A31648">
      <w:pPr>
        <w:pStyle w:val="a3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Все перечисленные проектные решения данного раздела отображены в графической части проекта на карте градостроительных ограничений.</w:t>
      </w:r>
    </w:p>
    <w:sectPr w:rsidR="00373C28" w:rsidRPr="00F54E3F" w:rsidSect="00F65568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F0D" w:rsidRDefault="00AF6F0D" w:rsidP="00216402">
      <w:pPr>
        <w:spacing w:after="0" w:line="240" w:lineRule="auto"/>
      </w:pPr>
      <w:r>
        <w:separator/>
      </w:r>
    </w:p>
  </w:endnote>
  <w:endnote w:type="continuationSeparator" w:id="0">
    <w:p w:rsidR="00AF6F0D" w:rsidRDefault="00AF6F0D" w:rsidP="0021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759405"/>
    </w:sdtPr>
    <w:sdtEndPr/>
    <w:sdtContent>
      <w:p w:rsidR="00E31BCD" w:rsidRDefault="00E31BC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A6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31BCD" w:rsidRDefault="00E31B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F0D" w:rsidRDefault="00AF6F0D" w:rsidP="00216402">
      <w:pPr>
        <w:spacing w:after="0" w:line="240" w:lineRule="auto"/>
      </w:pPr>
      <w:r>
        <w:separator/>
      </w:r>
    </w:p>
  </w:footnote>
  <w:footnote w:type="continuationSeparator" w:id="0">
    <w:p w:rsidR="00AF6F0D" w:rsidRDefault="00AF6F0D" w:rsidP="00216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55C6330"/>
    <w:lvl w:ilvl="0">
      <w:numFmt w:val="bullet"/>
      <w:lvlText w:val="*"/>
      <w:lvlJc w:val="left"/>
    </w:lvl>
  </w:abstractNum>
  <w:abstractNum w:abstractNumId="1" w15:restartNumberingAfterBreak="0">
    <w:nsid w:val="035E6BB5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3730E"/>
    <w:multiLevelType w:val="hybridMultilevel"/>
    <w:tmpl w:val="8B4A0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E03EE"/>
    <w:multiLevelType w:val="hybridMultilevel"/>
    <w:tmpl w:val="215061A8"/>
    <w:lvl w:ilvl="0" w:tplc="CD90A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424C"/>
    <w:multiLevelType w:val="hybridMultilevel"/>
    <w:tmpl w:val="27C4C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01FD3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0178A"/>
    <w:multiLevelType w:val="hybridMultilevel"/>
    <w:tmpl w:val="13A03B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22BBD"/>
    <w:multiLevelType w:val="hybridMultilevel"/>
    <w:tmpl w:val="4080EC5E"/>
    <w:lvl w:ilvl="0" w:tplc="1BD2AC82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C0362"/>
    <w:multiLevelType w:val="hybridMultilevel"/>
    <w:tmpl w:val="5106AD10"/>
    <w:lvl w:ilvl="0" w:tplc="CE38C0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E2C78"/>
    <w:multiLevelType w:val="hybridMultilevel"/>
    <w:tmpl w:val="215061A8"/>
    <w:lvl w:ilvl="0" w:tplc="CD90A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F45EB"/>
    <w:multiLevelType w:val="hybridMultilevel"/>
    <w:tmpl w:val="B2A4D008"/>
    <w:lvl w:ilvl="0" w:tplc="1BD2AC82">
      <w:start w:val="65535"/>
      <w:numFmt w:val="bullet"/>
      <w:lvlText w:val="■"/>
      <w:lvlJc w:val="left"/>
      <w:pPr>
        <w:ind w:left="1275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27C97DA6"/>
    <w:multiLevelType w:val="singleLevel"/>
    <w:tmpl w:val="54B04082"/>
    <w:lvl w:ilvl="0">
      <w:start w:val="28"/>
      <w:numFmt w:val="decimal"/>
      <w:lvlText w:val="2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BBA326D"/>
    <w:multiLevelType w:val="multilevel"/>
    <w:tmpl w:val="AEFE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2D9E45C5"/>
    <w:multiLevelType w:val="hybridMultilevel"/>
    <w:tmpl w:val="0D1A042E"/>
    <w:lvl w:ilvl="0" w:tplc="B22E287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603E0A"/>
    <w:multiLevelType w:val="singleLevel"/>
    <w:tmpl w:val="944002C4"/>
    <w:lvl w:ilvl="0">
      <w:start w:val="22"/>
      <w:numFmt w:val="decimal"/>
      <w:lvlText w:val="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329788E"/>
    <w:multiLevelType w:val="hybridMultilevel"/>
    <w:tmpl w:val="8A34863A"/>
    <w:lvl w:ilvl="0" w:tplc="1BD2AC82">
      <w:start w:val="65535"/>
      <w:numFmt w:val="bullet"/>
      <w:lvlText w:val="■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626720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759E8"/>
    <w:multiLevelType w:val="hybridMultilevel"/>
    <w:tmpl w:val="33360F54"/>
    <w:lvl w:ilvl="0" w:tplc="1BD2AC82">
      <w:start w:val="65535"/>
      <w:numFmt w:val="bullet"/>
      <w:lvlText w:val="■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607FD7"/>
    <w:multiLevelType w:val="hybridMultilevel"/>
    <w:tmpl w:val="17F4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3107F"/>
    <w:multiLevelType w:val="hybridMultilevel"/>
    <w:tmpl w:val="77800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45346"/>
    <w:multiLevelType w:val="hybridMultilevel"/>
    <w:tmpl w:val="3356D372"/>
    <w:lvl w:ilvl="0" w:tplc="1BD2AC82">
      <w:start w:val="65535"/>
      <w:numFmt w:val="bullet"/>
      <w:lvlText w:val="■"/>
      <w:lvlJc w:val="left"/>
      <w:pPr>
        <w:ind w:left="1434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41354A67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F5F99"/>
    <w:multiLevelType w:val="hybridMultilevel"/>
    <w:tmpl w:val="4ACAB1F6"/>
    <w:lvl w:ilvl="0" w:tplc="330CACF8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6782D38"/>
    <w:multiLevelType w:val="hybridMultilevel"/>
    <w:tmpl w:val="0EE6F0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76DF4"/>
    <w:multiLevelType w:val="singleLevel"/>
    <w:tmpl w:val="04F8E6DE"/>
    <w:lvl w:ilvl="0">
      <w:start w:val="24"/>
      <w:numFmt w:val="decimal"/>
      <w:lvlText w:val="2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8FC2BFA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80404"/>
    <w:multiLevelType w:val="hybridMultilevel"/>
    <w:tmpl w:val="776031EA"/>
    <w:lvl w:ilvl="0" w:tplc="0419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7" w15:restartNumberingAfterBreak="0">
    <w:nsid w:val="4D4231A5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36616"/>
    <w:multiLevelType w:val="hybridMultilevel"/>
    <w:tmpl w:val="4572A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943BF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665D7"/>
    <w:multiLevelType w:val="hybridMultilevel"/>
    <w:tmpl w:val="8C90111A"/>
    <w:lvl w:ilvl="0" w:tplc="1BD2AC82">
      <w:start w:val="65535"/>
      <w:numFmt w:val="bullet"/>
      <w:lvlText w:val="■"/>
      <w:lvlJc w:val="left"/>
      <w:pPr>
        <w:ind w:left="1434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648339C5"/>
    <w:multiLevelType w:val="hybridMultilevel"/>
    <w:tmpl w:val="F8E4FE1E"/>
    <w:lvl w:ilvl="0" w:tplc="0419000B">
      <w:start w:val="1"/>
      <w:numFmt w:val="bullet"/>
      <w:lvlText w:val=""/>
      <w:lvlJc w:val="left"/>
      <w:pPr>
        <w:ind w:left="16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2" w15:restartNumberingAfterBreak="0">
    <w:nsid w:val="66232A0A"/>
    <w:multiLevelType w:val="hybridMultilevel"/>
    <w:tmpl w:val="01128032"/>
    <w:lvl w:ilvl="0" w:tplc="9A1C95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63966B4"/>
    <w:multiLevelType w:val="hybridMultilevel"/>
    <w:tmpl w:val="B302D5E8"/>
    <w:lvl w:ilvl="0" w:tplc="1BD2AC82">
      <w:start w:val="65535"/>
      <w:numFmt w:val="bullet"/>
      <w:lvlText w:val="■"/>
      <w:lvlJc w:val="left"/>
      <w:pPr>
        <w:ind w:left="147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4" w15:restartNumberingAfterBreak="0">
    <w:nsid w:val="6BF3086F"/>
    <w:multiLevelType w:val="hybridMultilevel"/>
    <w:tmpl w:val="46F8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44B03"/>
    <w:multiLevelType w:val="hybridMultilevel"/>
    <w:tmpl w:val="D8C6B756"/>
    <w:lvl w:ilvl="0" w:tplc="72DE40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F0693"/>
    <w:multiLevelType w:val="hybridMultilevel"/>
    <w:tmpl w:val="77800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D43C9"/>
    <w:multiLevelType w:val="hybridMultilevel"/>
    <w:tmpl w:val="3C3E7B78"/>
    <w:lvl w:ilvl="0" w:tplc="1BD2AC82">
      <w:start w:val="65535"/>
      <w:numFmt w:val="bullet"/>
      <w:lvlText w:val="■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3BD6F6A"/>
    <w:multiLevelType w:val="hybridMultilevel"/>
    <w:tmpl w:val="93A251D6"/>
    <w:lvl w:ilvl="0" w:tplc="1BD2AC82">
      <w:start w:val="65535"/>
      <w:numFmt w:val="bullet"/>
      <w:lvlText w:val="■"/>
      <w:lvlJc w:val="left"/>
      <w:pPr>
        <w:ind w:left="2025" w:hanging="360"/>
      </w:pPr>
      <w:rPr>
        <w:rFonts w:ascii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26"/>
  </w:num>
  <w:num w:numId="4">
    <w:abstractNumId w:val="31"/>
  </w:num>
  <w:num w:numId="5">
    <w:abstractNumId w:val="23"/>
  </w:num>
  <w:num w:numId="6">
    <w:abstractNumId w:val="6"/>
  </w:num>
  <w:num w:numId="7">
    <w:abstractNumId w:val="28"/>
  </w:num>
  <w:num w:numId="8">
    <w:abstractNumId w:val="8"/>
  </w:num>
  <w:num w:numId="9">
    <w:abstractNumId w:val="9"/>
  </w:num>
  <w:num w:numId="10">
    <w:abstractNumId w:val="18"/>
  </w:num>
  <w:num w:numId="11">
    <w:abstractNumId w:val="4"/>
  </w:num>
  <w:num w:numId="12">
    <w:abstractNumId w:val="34"/>
  </w:num>
  <w:num w:numId="13">
    <w:abstractNumId w:val="14"/>
  </w:num>
  <w:num w:numId="14">
    <w:abstractNumId w:val="14"/>
    <w:lvlOverride w:ilvl="0">
      <w:lvl w:ilvl="0">
        <w:start w:val="22"/>
        <w:numFmt w:val="decimal"/>
        <w:lvlText w:val="2.%1."/>
        <w:legacy w:legacy="1" w:legacySpace="0" w:legacyIndent="59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4"/>
  </w:num>
  <w:num w:numId="16">
    <w:abstractNumId w:val="19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6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11"/>
    <w:lvlOverride w:ilvl="0">
      <w:lvl w:ilvl="0">
        <w:start w:val="28"/>
        <w:numFmt w:val="decimal"/>
        <w:lvlText w:val="2.%1."/>
        <w:legacy w:legacy="1" w:legacySpace="0" w:legacyIndent="63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37"/>
  </w:num>
  <w:num w:numId="25">
    <w:abstractNumId w:val="2"/>
  </w:num>
  <w:num w:numId="26">
    <w:abstractNumId w:val="33"/>
  </w:num>
  <w:num w:numId="27">
    <w:abstractNumId w:val="17"/>
  </w:num>
  <w:num w:numId="28">
    <w:abstractNumId w:val="15"/>
  </w:num>
  <w:num w:numId="29">
    <w:abstractNumId w:val="30"/>
  </w:num>
  <w:num w:numId="30">
    <w:abstractNumId w:val="20"/>
  </w:num>
  <w:num w:numId="31">
    <w:abstractNumId w:val="38"/>
  </w:num>
  <w:num w:numId="32">
    <w:abstractNumId w:val="10"/>
  </w:num>
  <w:num w:numId="33">
    <w:abstractNumId w:val="7"/>
  </w:num>
  <w:num w:numId="34">
    <w:abstractNumId w:val="3"/>
  </w:num>
  <w:num w:numId="35">
    <w:abstractNumId w:val="22"/>
  </w:num>
  <w:num w:numId="36">
    <w:abstractNumId w:val="12"/>
  </w:num>
  <w:num w:numId="37">
    <w:abstractNumId w:val="1"/>
  </w:num>
  <w:num w:numId="38">
    <w:abstractNumId w:val="25"/>
  </w:num>
  <w:num w:numId="39">
    <w:abstractNumId w:val="5"/>
  </w:num>
  <w:num w:numId="40">
    <w:abstractNumId w:val="27"/>
  </w:num>
  <w:num w:numId="41">
    <w:abstractNumId w:val="29"/>
  </w:num>
  <w:num w:numId="42">
    <w:abstractNumId w:val="32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1C4"/>
    <w:rsid w:val="0000049C"/>
    <w:rsid w:val="00006867"/>
    <w:rsid w:val="00006AE5"/>
    <w:rsid w:val="00006BB1"/>
    <w:rsid w:val="00007278"/>
    <w:rsid w:val="0001425D"/>
    <w:rsid w:val="000146C7"/>
    <w:rsid w:val="00032D42"/>
    <w:rsid w:val="00033FEC"/>
    <w:rsid w:val="00035DC4"/>
    <w:rsid w:val="00042C8D"/>
    <w:rsid w:val="00046F21"/>
    <w:rsid w:val="000551C0"/>
    <w:rsid w:val="000551D4"/>
    <w:rsid w:val="00067BA9"/>
    <w:rsid w:val="00067C5B"/>
    <w:rsid w:val="00070A87"/>
    <w:rsid w:val="00071B9D"/>
    <w:rsid w:val="00086355"/>
    <w:rsid w:val="000A66A3"/>
    <w:rsid w:val="000B3855"/>
    <w:rsid w:val="000C7C97"/>
    <w:rsid w:val="000D216B"/>
    <w:rsid w:val="000D5092"/>
    <w:rsid w:val="000E5B60"/>
    <w:rsid w:val="000F0B07"/>
    <w:rsid w:val="000F0C04"/>
    <w:rsid w:val="000F3BB4"/>
    <w:rsid w:val="00105211"/>
    <w:rsid w:val="00105ED4"/>
    <w:rsid w:val="00111F62"/>
    <w:rsid w:val="00114CFB"/>
    <w:rsid w:val="001211EB"/>
    <w:rsid w:val="00130277"/>
    <w:rsid w:val="00155715"/>
    <w:rsid w:val="00155A2D"/>
    <w:rsid w:val="00162A5C"/>
    <w:rsid w:val="00164ABE"/>
    <w:rsid w:val="00164E6A"/>
    <w:rsid w:val="001743D0"/>
    <w:rsid w:val="00180164"/>
    <w:rsid w:val="00183D73"/>
    <w:rsid w:val="00196EE0"/>
    <w:rsid w:val="001A35E1"/>
    <w:rsid w:val="001A5FBD"/>
    <w:rsid w:val="001B0C8A"/>
    <w:rsid w:val="001B2AE7"/>
    <w:rsid w:val="001C0C0B"/>
    <w:rsid w:val="001C31C4"/>
    <w:rsid w:val="001D15F0"/>
    <w:rsid w:val="001D239C"/>
    <w:rsid w:val="001D24A6"/>
    <w:rsid w:val="001D519F"/>
    <w:rsid w:val="001D578D"/>
    <w:rsid w:val="001D5B1D"/>
    <w:rsid w:val="001E751D"/>
    <w:rsid w:val="001F1F41"/>
    <w:rsid w:val="0020451A"/>
    <w:rsid w:val="00216402"/>
    <w:rsid w:val="00232820"/>
    <w:rsid w:val="0023308F"/>
    <w:rsid w:val="00233267"/>
    <w:rsid w:val="002434F0"/>
    <w:rsid w:val="00243880"/>
    <w:rsid w:val="002440EA"/>
    <w:rsid w:val="002540BA"/>
    <w:rsid w:val="00257620"/>
    <w:rsid w:val="002841B7"/>
    <w:rsid w:val="00285BDF"/>
    <w:rsid w:val="002A358B"/>
    <w:rsid w:val="002A5900"/>
    <w:rsid w:val="002B2EB5"/>
    <w:rsid w:val="002B420A"/>
    <w:rsid w:val="002B4B58"/>
    <w:rsid w:val="002C2F8C"/>
    <w:rsid w:val="002C35EE"/>
    <w:rsid w:val="002D0EBB"/>
    <w:rsid w:val="002D1AFB"/>
    <w:rsid w:val="002D58F1"/>
    <w:rsid w:val="00304480"/>
    <w:rsid w:val="003117B9"/>
    <w:rsid w:val="0031338F"/>
    <w:rsid w:val="00321AD7"/>
    <w:rsid w:val="0032691C"/>
    <w:rsid w:val="00327715"/>
    <w:rsid w:val="00340743"/>
    <w:rsid w:val="00342717"/>
    <w:rsid w:val="003629A4"/>
    <w:rsid w:val="00362BB0"/>
    <w:rsid w:val="0036636A"/>
    <w:rsid w:val="003724EE"/>
    <w:rsid w:val="00373C28"/>
    <w:rsid w:val="00375EA3"/>
    <w:rsid w:val="003840EC"/>
    <w:rsid w:val="0039585E"/>
    <w:rsid w:val="00396B04"/>
    <w:rsid w:val="003B349C"/>
    <w:rsid w:val="003B51CA"/>
    <w:rsid w:val="003B79AF"/>
    <w:rsid w:val="003D3373"/>
    <w:rsid w:val="003D47EC"/>
    <w:rsid w:val="003E6EDC"/>
    <w:rsid w:val="004125F3"/>
    <w:rsid w:val="00417541"/>
    <w:rsid w:val="00442D00"/>
    <w:rsid w:val="0044672A"/>
    <w:rsid w:val="00456010"/>
    <w:rsid w:val="00460551"/>
    <w:rsid w:val="00462584"/>
    <w:rsid w:val="00462A6A"/>
    <w:rsid w:val="004746FB"/>
    <w:rsid w:val="004756C7"/>
    <w:rsid w:val="00482765"/>
    <w:rsid w:val="00493345"/>
    <w:rsid w:val="00495C5C"/>
    <w:rsid w:val="004A256F"/>
    <w:rsid w:val="004A3F9B"/>
    <w:rsid w:val="004B4A05"/>
    <w:rsid w:val="004B69B8"/>
    <w:rsid w:val="004C6196"/>
    <w:rsid w:val="004D5C71"/>
    <w:rsid w:val="004D6EBE"/>
    <w:rsid w:val="004D7F74"/>
    <w:rsid w:val="004E33A0"/>
    <w:rsid w:val="004E7E8D"/>
    <w:rsid w:val="00500CDC"/>
    <w:rsid w:val="00502D43"/>
    <w:rsid w:val="00517055"/>
    <w:rsid w:val="0051730E"/>
    <w:rsid w:val="00522114"/>
    <w:rsid w:val="00543388"/>
    <w:rsid w:val="00545DA0"/>
    <w:rsid w:val="00546904"/>
    <w:rsid w:val="00551EFF"/>
    <w:rsid w:val="00552A5C"/>
    <w:rsid w:val="005657C4"/>
    <w:rsid w:val="00577B88"/>
    <w:rsid w:val="00583ABB"/>
    <w:rsid w:val="00596CC9"/>
    <w:rsid w:val="005A6F7F"/>
    <w:rsid w:val="005B3624"/>
    <w:rsid w:val="005E4D60"/>
    <w:rsid w:val="005E65A6"/>
    <w:rsid w:val="005F1FD8"/>
    <w:rsid w:val="005F4A35"/>
    <w:rsid w:val="0060432B"/>
    <w:rsid w:val="00604343"/>
    <w:rsid w:val="00610DA2"/>
    <w:rsid w:val="006147D0"/>
    <w:rsid w:val="006149CA"/>
    <w:rsid w:val="0062566D"/>
    <w:rsid w:val="006266A5"/>
    <w:rsid w:val="00643713"/>
    <w:rsid w:val="00651828"/>
    <w:rsid w:val="00653D5B"/>
    <w:rsid w:val="00671A36"/>
    <w:rsid w:val="006777CE"/>
    <w:rsid w:val="00686118"/>
    <w:rsid w:val="00690E77"/>
    <w:rsid w:val="006D0677"/>
    <w:rsid w:val="006E386E"/>
    <w:rsid w:val="006E53A3"/>
    <w:rsid w:val="006E774C"/>
    <w:rsid w:val="006F2D31"/>
    <w:rsid w:val="006F6931"/>
    <w:rsid w:val="006F7A71"/>
    <w:rsid w:val="007005E4"/>
    <w:rsid w:val="007374EC"/>
    <w:rsid w:val="007749B6"/>
    <w:rsid w:val="0077714B"/>
    <w:rsid w:val="0077743A"/>
    <w:rsid w:val="007B20AF"/>
    <w:rsid w:val="007D1B86"/>
    <w:rsid w:val="007D3967"/>
    <w:rsid w:val="007E2234"/>
    <w:rsid w:val="007E4861"/>
    <w:rsid w:val="007E510D"/>
    <w:rsid w:val="00805535"/>
    <w:rsid w:val="00811843"/>
    <w:rsid w:val="00813991"/>
    <w:rsid w:val="00817380"/>
    <w:rsid w:val="00820518"/>
    <w:rsid w:val="00820B88"/>
    <w:rsid w:val="00822187"/>
    <w:rsid w:val="008235C3"/>
    <w:rsid w:val="008346B8"/>
    <w:rsid w:val="00840BA1"/>
    <w:rsid w:val="008472FD"/>
    <w:rsid w:val="008526E3"/>
    <w:rsid w:val="0085618B"/>
    <w:rsid w:val="00856C1F"/>
    <w:rsid w:val="00856C7E"/>
    <w:rsid w:val="00860E5F"/>
    <w:rsid w:val="00875B7C"/>
    <w:rsid w:val="0088539A"/>
    <w:rsid w:val="008863DB"/>
    <w:rsid w:val="0089440F"/>
    <w:rsid w:val="008A049F"/>
    <w:rsid w:val="008B720A"/>
    <w:rsid w:val="008B7441"/>
    <w:rsid w:val="008C337D"/>
    <w:rsid w:val="008D1C7C"/>
    <w:rsid w:val="008D6FF4"/>
    <w:rsid w:val="008E2B03"/>
    <w:rsid w:val="008E3AFD"/>
    <w:rsid w:val="008E4B7E"/>
    <w:rsid w:val="008F70B8"/>
    <w:rsid w:val="008F7900"/>
    <w:rsid w:val="009017E2"/>
    <w:rsid w:val="009036B2"/>
    <w:rsid w:val="00913489"/>
    <w:rsid w:val="009167E1"/>
    <w:rsid w:val="00924E6C"/>
    <w:rsid w:val="00947AA5"/>
    <w:rsid w:val="00954A63"/>
    <w:rsid w:val="00965D0D"/>
    <w:rsid w:val="009673D5"/>
    <w:rsid w:val="00972E07"/>
    <w:rsid w:val="00981776"/>
    <w:rsid w:val="009818E2"/>
    <w:rsid w:val="0099297E"/>
    <w:rsid w:val="0099391E"/>
    <w:rsid w:val="009959DD"/>
    <w:rsid w:val="00996FA6"/>
    <w:rsid w:val="00997FE1"/>
    <w:rsid w:val="009B06F9"/>
    <w:rsid w:val="009C0B8D"/>
    <w:rsid w:val="009C1FFF"/>
    <w:rsid w:val="009C28D9"/>
    <w:rsid w:val="009C7BBF"/>
    <w:rsid w:val="009D1069"/>
    <w:rsid w:val="009D50A8"/>
    <w:rsid w:val="009E089F"/>
    <w:rsid w:val="009E2BD1"/>
    <w:rsid w:val="009E7EB7"/>
    <w:rsid w:val="00A0559B"/>
    <w:rsid w:val="00A1237B"/>
    <w:rsid w:val="00A13F02"/>
    <w:rsid w:val="00A21DC3"/>
    <w:rsid w:val="00A262DC"/>
    <w:rsid w:val="00A31648"/>
    <w:rsid w:val="00A31FF1"/>
    <w:rsid w:val="00A45BC3"/>
    <w:rsid w:val="00A70A88"/>
    <w:rsid w:val="00A73A11"/>
    <w:rsid w:val="00A83D8D"/>
    <w:rsid w:val="00A83E94"/>
    <w:rsid w:val="00A84054"/>
    <w:rsid w:val="00A94B36"/>
    <w:rsid w:val="00A97E47"/>
    <w:rsid w:val="00AA4B65"/>
    <w:rsid w:val="00AC7F9B"/>
    <w:rsid w:val="00AD1205"/>
    <w:rsid w:val="00AD2995"/>
    <w:rsid w:val="00AD3D7F"/>
    <w:rsid w:val="00AD4DE2"/>
    <w:rsid w:val="00AD67C4"/>
    <w:rsid w:val="00AD7212"/>
    <w:rsid w:val="00AE0B62"/>
    <w:rsid w:val="00AE5D9E"/>
    <w:rsid w:val="00AF6F0D"/>
    <w:rsid w:val="00AF718E"/>
    <w:rsid w:val="00B03DF6"/>
    <w:rsid w:val="00B11450"/>
    <w:rsid w:val="00B14D2D"/>
    <w:rsid w:val="00B165D4"/>
    <w:rsid w:val="00B21BEF"/>
    <w:rsid w:val="00B25BFE"/>
    <w:rsid w:val="00B32E3F"/>
    <w:rsid w:val="00B34ADB"/>
    <w:rsid w:val="00B60590"/>
    <w:rsid w:val="00B60D25"/>
    <w:rsid w:val="00B749BC"/>
    <w:rsid w:val="00B819ED"/>
    <w:rsid w:val="00B93ED1"/>
    <w:rsid w:val="00B96745"/>
    <w:rsid w:val="00BA17EF"/>
    <w:rsid w:val="00BC493A"/>
    <w:rsid w:val="00BE0EE5"/>
    <w:rsid w:val="00BE7322"/>
    <w:rsid w:val="00BF1D5A"/>
    <w:rsid w:val="00BF4B9A"/>
    <w:rsid w:val="00C015A3"/>
    <w:rsid w:val="00C0197A"/>
    <w:rsid w:val="00C117D9"/>
    <w:rsid w:val="00C12902"/>
    <w:rsid w:val="00C158C7"/>
    <w:rsid w:val="00C16385"/>
    <w:rsid w:val="00C3732A"/>
    <w:rsid w:val="00C42B3E"/>
    <w:rsid w:val="00C573FB"/>
    <w:rsid w:val="00C6030F"/>
    <w:rsid w:val="00C8478C"/>
    <w:rsid w:val="00C84A89"/>
    <w:rsid w:val="00C866FA"/>
    <w:rsid w:val="00C873FC"/>
    <w:rsid w:val="00C9316C"/>
    <w:rsid w:val="00C93673"/>
    <w:rsid w:val="00C97CD9"/>
    <w:rsid w:val="00CA22B4"/>
    <w:rsid w:val="00CB056D"/>
    <w:rsid w:val="00CF35F4"/>
    <w:rsid w:val="00CF5A0D"/>
    <w:rsid w:val="00D00196"/>
    <w:rsid w:val="00D11238"/>
    <w:rsid w:val="00D30137"/>
    <w:rsid w:val="00D371D4"/>
    <w:rsid w:val="00D47D46"/>
    <w:rsid w:val="00D60B11"/>
    <w:rsid w:val="00D65493"/>
    <w:rsid w:val="00D7724D"/>
    <w:rsid w:val="00DB627A"/>
    <w:rsid w:val="00DC7046"/>
    <w:rsid w:val="00DD138B"/>
    <w:rsid w:val="00DE1B80"/>
    <w:rsid w:val="00DE5766"/>
    <w:rsid w:val="00DF105D"/>
    <w:rsid w:val="00DF4438"/>
    <w:rsid w:val="00E0238A"/>
    <w:rsid w:val="00E04DE4"/>
    <w:rsid w:val="00E06DA0"/>
    <w:rsid w:val="00E12ABA"/>
    <w:rsid w:val="00E24803"/>
    <w:rsid w:val="00E30B10"/>
    <w:rsid w:val="00E31BCD"/>
    <w:rsid w:val="00E44498"/>
    <w:rsid w:val="00E46168"/>
    <w:rsid w:val="00E706FB"/>
    <w:rsid w:val="00E849E5"/>
    <w:rsid w:val="00E85712"/>
    <w:rsid w:val="00E903A1"/>
    <w:rsid w:val="00E93BF9"/>
    <w:rsid w:val="00E96263"/>
    <w:rsid w:val="00E96A9A"/>
    <w:rsid w:val="00EB7ED0"/>
    <w:rsid w:val="00EC41BB"/>
    <w:rsid w:val="00ED65AD"/>
    <w:rsid w:val="00EE166D"/>
    <w:rsid w:val="00EE1CCC"/>
    <w:rsid w:val="00F047FC"/>
    <w:rsid w:val="00F048BC"/>
    <w:rsid w:val="00F11C1A"/>
    <w:rsid w:val="00F25768"/>
    <w:rsid w:val="00F2766A"/>
    <w:rsid w:val="00F31479"/>
    <w:rsid w:val="00F33BAD"/>
    <w:rsid w:val="00F4724C"/>
    <w:rsid w:val="00F54E3F"/>
    <w:rsid w:val="00F55203"/>
    <w:rsid w:val="00F62C27"/>
    <w:rsid w:val="00F65568"/>
    <w:rsid w:val="00F802C4"/>
    <w:rsid w:val="00F81374"/>
    <w:rsid w:val="00FD133C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29A08-C930-460C-A658-145B47F3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F7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6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6402"/>
  </w:style>
  <w:style w:type="paragraph" w:styleId="a6">
    <w:name w:val="footer"/>
    <w:basedOn w:val="a"/>
    <w:link w:val="a7"/>
    <w:uiPriority w:val="99"/>
    <w:unhideWhenUsed/>
    <w:rsid w:val="00216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6402"/>
  </w:style>
  <w:style w:type="paragraph" w:styleId="a8">
    <w:name w:val="Balloon Text"/>
    <w:basedOn w:val="a"/>
    <w:link w:val="a9"/>
    <w:uiPriority w:val="99"/>
    <w:semiHidden/>
    <w:unhideWhenUsed/>
    <w:rsid w:val="00894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440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B819ED"/>
    <w:pPr>
      <w:widowControl w:val="0"/>
      <w:autoSpaceDE w:val="0"/>
      <w:autoSpaceDN w:val="0"/>
      <w:adjustRightInd w:val="0"/>
      <w:spacing w:after="0" w:line="248" w:lineRule="exact"/>
      <w:ind w:firstLine="49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B819ED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4C6196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461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CEA2-6B91-42F0-B591-9E5AEA23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Konsol</Company>
  <LinksUpToDate>false</LinksUpToDate>
  <CharactersWithSpaces>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Konsol 04</dc:creator>
  <cp:keywords/>
  <dc:description/>
  <cp:lastModifiedBy>Фомичев Иван</cp:lastModifiedBy>
  <cp:revision>6</cp:revision>
  <cp:lastPrinted>2011-03-26T08:54:00Z</cp:lastPrinted>
  <dcterms:created xsi:type="dcterms:W3CDTF">2016-01-21T11:29:00Z</dcterms:created>
  <dcterms:modified xsi:type="dcterms:W3CDTF">2016-01-24T20:07:00Z</dcterms:modified>
</cp:coreProperties>
</file>